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A65532" w:rsidRDefault="00A65532" w:rsidP="00A65532">
      <w:pPr>
        <w:spacing w:after="300"/>
        <w:rPr>
          <w:rFonts w:ascii="Calibri" w:eastAsia="Times New Roman" w:hAnsi="Calibri" w:cs="Calibri"/>
          <w:b/>
          <w:bCs/>
          <w:color w:val="747474"/>
          <w:kern w:val="0"/>
          <w:sz w:val="23"/>
          <w:szCs w:val="23"/>
          <w14:ligatures w14:val="none"/>
        </w:rPr>
      </w:pPr>
      <w:r>
        <w:rPr>
          <w:rFonts w:ascii="Century Gothic" w:hAnsi="Century Gothic"/>
          <w:noProof/>
          <w:szCs w:val="32"/>
        </w:rPr>
        <w:drawing>
          <wp:anchor distT="0" distB="0" distL="114300" distR="114300" simplePos="0" relativeHeight="251659264" behindDoc="0" locked="0" layoutInCell="1" allowOverlap="1" wp14:anchorId="104F83BD" wp14:editId="557DB436">
            <wp:simplePos x="0" y="0"/>
            <wp:positionH relativeFrom="column">
              <wp:posOffset>0</wp:posOffset>
            </wp:positionH>
            <wp:positionV relativeFrom="paragraph">
              <wp:posOffset>388</wp:posOffset>
            </wp:positionV>
            <wp:extent cx="2438400" cy="1076325"/>
            <wp:effectExtent l="0" t="0" r="0" b="9525"/>
            <wp:wrapSquare wrapText="bothSides"/>
            <wp:docPr id="1" name="Picture 1" descr="CAC_logo_XsmCMY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AC_logo_XsmCMY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8400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65532" w:rsidRDefault="00A65532" w:rsidP="00A65532">
      <w:pPr>
        <w:spacing w:after="300"/>
        <w:rPr>
          <w:rFonts w:ascii="Calibri" w:eastAsia="Times New Roman" w:hAnsi="Calibri" w:cs="Calibri"/>
          <w:b/>
          <w:bCs/>
          <w:color w:val="747474"/>
          <w:kern w:val="0"/>
          <w:sz w:val="23"/>
          <w:szCs w:val="23"/>
          <w14:ligatures w14:val="none"/>
        </w:rPr>
      </w:pPr>
    </w:p>
    <w:p w:rsidR="00A65532" w:rsidRDefault="00A65532" w:rsidP="00A65532">
      <w:pPr>
        <w:spacing w:after="300"/>
        <w:rPr>
          <w:rFonts w:ascii="Calibri" w:eastAsia="Times New Roman" w:hAnsi="Calibri" w:cs="Calibri"/>
          <w:b/>
          <w:bCs/>
          <w:color w:val="747474"/>
          <w:kern w:val="0"/>
          <w:sz w:val="23"/>
          <w:szCs w:val="23"/>
          <w14:ligatures w14:val="none"/>
        </w:rPr>
      </w:pPr>
    </w:p>
    <w:p w:rsidR="00A65532" w:rsidRPr="00A20476" w:rsidRDefault="00A65532" w:rsidP="00A65532">
      <w:pPr>
        <w:tabs>
          <w:tab w:val="left" w:pos="1520"/>
        </w:tabs>
        <w:rPr>
          <w:rFonts w:ascii="Century Gothic" w:hAnsi="Century Gothic"/>
          <w:sz w:val="22"/>
          <w:szCs w:val="22"/>
        </w:rPr>
      </w:pPr>
      <w:r w:rsidRPr="00A20476">
        <w:rPr>
          <w:rFonts w:ascii="Century Gothic" w:hAnsi="Century Gothic"/>
          <w:sz w:val="22"/>
          <w:szCs w:val="22"/>
        </w:rPr>
        <w:t>40 Beech Street, Port Chester, NY 10573</w:t>
      </w:r>
    </w:p>
    <w:p w:rsidR="00A65532" w:rsidRPr="00A20476" w:rsidRDefault="00A65532" w:rsidP="00A65532">
      <w:pPr>
        <w:tabs>
          <w:tab w:val="left" w:pos="1520"/>
        </w:tabs>
        <w:rPr>
          <w:rFonts w:ascii="Century Gothic" w:hAnsi="Century Gothic"/>
          <w:sz w:val="22"/>
          <w:szCs w:val="22"/>
        </w:rPr>
      </w:pPr>
      <w:r w:rsidRPr="00A20476">
        <w:rPr>
          <w:rFonts w:ascii="Century Gothic" w:hAnsi="Century Gothic"/>
          <w:sz w:val="22"/>
          <w:szCs w:val="22"/>
        </w:rPr>
        <w:t>www.clayartcenter.org</w:t>
      </w:r>
    </w:p>
    <w:p w:rsidR="00A65532" w:rsidRPr="00A20476" w:rsidRDefault="00A65532" w:rsidP="00A65532">
      <w:pPr>
        <w:tabs>
          <w:tab w:val="left" w:pos="540"/>
        </w:tabs>
        <w:ind w:right="-720"/>
        <w:rPr>
          <w:rFonts w:ascii="Century Gothic" w:hAnsi="Century Gothic"/>
          <w:sz w:val="22"/>
          <w:szCs w:val="22"/>
        </w:rPr>
      </w:pPr>
    </w:p>
    <w:p w:rsidR="00A65532" w:rsidRPr="00A20476" w:rsidRDefault="00A65532" w:rsidP="00A65532">
      <w:pPr>
        <w:tabs>
          <w:tab w:val="left" w:pos="540"/>
        </w:tabs>
        <w:ind w:right="-720"/>
        <w:rPr>
          <w:rFonts w:ascii="Century Gothic" w:hAnsi="Century Gothic"/>
          <w:sz w:val="22"/>
          <w:szCs w:val="22"/>
        </w:rPr>
      </w:pPr>
      <w:r w:rsidRPr="00A20476">
        <w:rPr>
          <w:rFonts w:ascii="Century Gothic" w:hAnsi="Century Gothic"/>
          <w:sz w:val="22"/>
          <w:szCs w:val="22"/>
        </w:rPr>
        <w:t>FOR IMMEDIATE RELEASE</w:t>
      </w:r>
      <w:r>
        <w:rPr>
          <w:rFonts w:ascii="Century Gothic" w:hAnsi="Century Gothic"/>
          <w:sz w:val="22"/>
          <w:szCs w:val="22"/>
        </w:rPr>
        <w:t>:</w:t>
      </w:r>
    </w:p>
    <w:p w:rsidR="00A65532" w:rsidRPr="00A20476" w:rsidRDefault="00A65532" w:rsidP="00A65532">
      <w:pPr>
        <w:tabs>
          <w:tab w:val="left" w:pos="540"/>
        </w:tabs>
        <w:ind w:left="-720" w:right="-720"/>
        <w:rPr>
          <w:rFonts w:ascii="Century Gothic" w:hAnsi="Century Gothic"/>
          <w:sz w:val="22"/>
          <w:szCs w:val="22"/>
        </w:rPr>
      </w:pPr>
    </w:p>
    <w:p w:rsidR="00A65532" w:rsidRDefault="00A65532" w:rsidP="00A65532">
      <w:pPr>
        <w:spacing w:after="300"/>
        <w:rPr>
          <w:rFonts w:ascii="Calibri" w:eastAsia="Times New Roman" w:hAnsi="Calibri" w:cs="Calibri"/>
          <w:b/>
          <w:bCs/>
          <w:color w:val="747474"/>
          <w:kern w:val="0"/>
          <w:sz w:val="23"/>
          <w:szCs w:val="23"/>
          <w14:ligatures w14:val="none"/>
        </w:rPr>
      </w:pPr>
      <w:r w:rsidRPr="00A20476">
        <w:rPr>
          <w:rFonts w:ascii="Century Gothic" w:hAnsi="Century Gothic"/>
          <w:sz w:val="22"/>
          <w:szCs w:val="22"/>
        </w:rPr>
        <w:t>Media Contact:</w:t>
      </w:r>
      <w:r w:rsidRPr="00A20476">
        <w:rPr>
          <w:rFonts w:ascii="Century Gothic" w:hAnsi="Century Gothic"/>
          <w:sz w:val="22"/>
          <w:szCs w:val="22"/>
        </w:rPr>
        <w:tab/>
      </w:r>
      <w:r>
        <w:rPr>
          <w:rFonts w:ascii="Century Gothic" w:hAnsi="Century Gothic"/>
          <w:sz w:val="22"/>
          <w:szCs w:val="22"/>
        </w:rPr>
        <w:t>Regina Farrell-Fagan</w:t>
      </w:r>
      <w:r w:rsidRPr="00A20476">
        <w:rPr>
          <w:rFonts w:ascii="Century Gothic" w:hAnsi="Century Gothic"/>
          <w:sz w:val="22"/>
          <w:szCs w:val="22"/>
        </w:rPr>
        <w:t xml:space="preserve">, </w:t>
      </w:r>
      <w:r>
        <w:rPr>
          <w:rFonts w:ascii="Century Gothic" w:hAnsi="Century Gothic"/>
          <w:sz w:val="22"/>
          <w:szCs w:val="22"/>
        </w:rPr>
        <w:t>Exhibitions and Marketing Director</w:t>
      </w:r>
      <w:r w:rsidRPr="00A20476">
        <w:rPr>
          <w:rFonts w:ascii="Century Gothic" w:hAnsi="Century Gothic"/>
          <w:sz w:val="22"/>
          <w:szCs w:val="22"/>
        </w:rPr>
        <w:tab/>
      </w:r>
      <w:r w:rsidRPr="00A20476">
        <w:rPr>
          <w:rFonts w:ascii="Century Gothic" w:hAnsi="Century Gothic"/>
          <w:sz w:val="22"/>
          <w:szCs w:val="22"/>
        </w:rPr>
        <w:tab/>
      </w:r>
      <w:r w:rsidRPr="00A20476">
        <w:rPr>
          <w:rFonts w:ascii="Century Gothic" w:hAnsi="Century Gothic"/>
          <w:sz w:val="22"/>
          <w:szCs w:val="22"/>
        </w:rPr>
        <w:tab/>
      </w:r>
      <w:r w:rsidRPr="00A20476">
        <w:rPr>
          <w:rFonts w:ascii="Century Gothic" w:hAnsi="Century Gothic"/>
          <w:sz w:val="22"/>
          <w:szCs w:val="22"/>
        </w:rPr>
        <w:tab/>
      </w:r>
      <w:r w:rsidRPr="00A20476">
        <w:rPr>
          <w:rFonts w:ascii="Century Gothic" w:hAnsi="Century Gothic"/>
          <w:sz w:val="22"/>
          <w:szCs w:val="22"/>
        </w:rPr>
        <w:tab/>
      </w:r>
      <w:hyperlink r:id="rId5" w:history="1">
        <w:r w:rsidRPr="0075432C">
          <w:rPr>
            <w:rStyle w:val="Hyperlink"/>
            <w:rFonts w:ascii="Century Gothic" w:hAnsi="Century Gothic"/>
            <w:sz w:val="22"/>
            <w:szCs w:val="22"/>
          </w:rPr>
          <w:t>regina@clayartcenter.org</w:t>
        </w:r>
      </w:hyperlink>
      <w:r>
        <w:rPr>
          <w:rFonts w:ascii="Century Gothic" w:hAnsi="Century Gothic"/>
          <w:sz w:val="22"/>
          <w:szCs w:val="22"/>
        </w:rPr>
        <w:t xml:space="preserve">, </w:t>
      </w:r>
      <w:hyperlink r:id="rId6" w:history="1">
        <w:r w:rsidRPr="002821A9">
          <w:rPr>
            <w:rStyle w:val="Hyperlink"/>
            <w:rFonts w:ascii="Century Gothic" w:hAnsi="Century Gothic"/>
            <w:sz w:val="22"/>
            <w:szCs w:val="22"/>
          </w:rPr>
          <w:t>communications@clayartcenter.org</w:t>
        </w:r>
      </w:hyperlink>
    </w:p>
    <w:p w:rsidR="00A65532" w:rsidRDefault="00995584" w:rsidP="00A65532">
      <w:pPr>
        <w:spacing w:after="300"/>
        <w:rPr>
          <w:rFonts w:ascii="Calibri" w:eastAsia="Times New Roman" w:hAnsi="Calibri" w:cs="Calibri"/>
          <w:b/>
          <w:bCs/>
          <w:color w:val="747474"/>
          <w:kern w:val="0"/>
          <w:sz w:val="23"/>
          <w:szCs w:val="23"/>
          <w14:ligatures w14:val="none"/>
        </w:rPr>
      </w:pPr>
      <w:r>
        <w:rPr>
          <w:rFonts w:ascii="Calibri" w:eastAsia="Times New Roman" w:hAnsi="Calibri" w:cs="Calibri"/>
          <w:b/>
          <w:bCs/>
          <w:noProof/>
          <w:color w:val="747474"/>
          <w:kern w:val="0"/>
          <w:sz w:val="23"/>
          <w:szCs w:val="23"/>
        </w:rPr>
        <w:drawing>
          <wp:inline distT="0" distB="0" distL="0" distR="0">
            <wp:extent cx="5943600" cy="3348990"/>
            <wp:effectExtent l="0" t="0" r="0" b="3810"/>
            <wp:docPr id="1139993594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39993594" name="Picture 1139993594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65532" w:rsidRDefault="00995584" w:rsidP="00A65532">
      <w:pPr>
        <w:spacing w:after="300"/>
        <w:rPr>
          <w:rFonts w:ascii="Calibri" w:eastAsia="Times New Roman" w:hAnsi="Calibri" w:cs="Calibri"/>
          <w:b/>
          <w:bCs/>
          <w:color w:val="404040" w:themeColor="text1" w:themeTint="BF"/>
          <w:kern w:val="0"/>
          <w:sz w:val="28"/>
          <w:szCs w:val="28"/>
          <w14:ligatures w14:val="none"/>
        </w:rPr>
      </w:pPr>
      <w:r w:rsidRPr="00813686">
        <w:rPr>
          <w:rFonts w:ascii="Calibri" w:eastAsia="Times New Roman" w:hAnsi="Calibri" w:cs="Calibri"/>
          <w:b/>
          <w:bCs/>
          <w:color w:val="404040" w:themeColor="text1" w:themeTint="BF"/>
          <w:kern w:val="0"/>
          <w:sz w:val="28"/>
          <w:szCs w:val="28"/>
          <w14:ligatures w14:val="none"/>
        </w:rPr>
        <w:t>Rising Stars: Annual Student Exhibition</w:t>
      </w:r>
      <w:r w:rsidR="00A65532" w:rsidRPr="00813686">
        <w:rPr>
          <w:rFonts w:ascii="Calibri" w:eastAsia="Times New Roman" w:hAnsi="Calibri" w:cs="Calibri"/>
          <w:b/>
          <w:bCs/>
          <w:color w:val="404040" w:themeColor="text1" w:themeTint="BF"/>
          <w:kern w:val="0"/>
          <w:sz w:val="28"/>
          <w:szCs w:val="28"/>
          <w14:ligatures w14:val="none"/>
        </w:rPr>
        <w:t xml:space="preserve"> at Clay Art Center</w:t>
      </w:r>
    </w:p>
    <w:p w:rsidR="00574015" w:rsidRPr="00574015" w:rsidRDefault="00574015" w:rsidP="00A65532">
      <w:pPr>
        <w:spacing w:after="300"/>
        <w:rPr>
          <w:rFonts w:ascii="Times New Roman" w:eastAsia="Times New Roman" w:hAnsi="Times New Roman" w:cs="Times New Roman"/>
          <w:color w:val="404040" w:themeColor="text1" w:themeTint="BF"/>
          <w:kern w:val="0"/>
          <w14:ligatures w14:val="none"/>
        </w:rPr>
      </w:pPr>
      <w:r w:rsidRPr="00574015">
        <w:rPr>
          <w:rFonts w:ascii="Calibri" w:eastAsia="Times New Roman" w:hAnsi="Calibri" w:cs="Calibri"/>
          <w:b/>
          <w:bCs/>
          <w:color w:val="404040" w:themeColor="text1" w:themeTint="BF"/>
          <w:kern w:val="0"/>
          <w14:ligatures w14:val="none"/>
        </w:rPr>
        <w:t>January 16</w:t>
      </w:r>
      <w:r w:rsidRPr="00574015">
        <w:rPr>
          <w:rFonts w:ascii="Calibri" w:eastAsia="Times New Roman" w:hAnsi="Calibri" w:cs="Calibri"/>
          <w:b/>
          <w:bCs/>
          <w:color w:val="404040" w:themeColor="text1" w:themeTint="BF"/>
          <w:kern w:val="0"/>
          <w:vertAlign w:val="superscript"/>
          <w14:ligatures w14:val="none"/>
        </w:rPr>
        <w:t>th</w:t>
      </w:r>
      <w:r w:rsidRPr="00574015">
        <w:rPr>
          <w:rFonts w:ascii="Calibri" w:eastAsia="Times New Roman" w:hAnsi="Calibri" w:cs="Calibri"/>
          <w:b/>
          <w:bCs/>
          <w:color w:val="404040" w:themeColor="text1" w:themeTint="BF"/>
          <w:kern w:val="0"/>
          <w14:ligatures w14:val="none"/>
        </w:rPr>
        <w:t xml:space="preserve"> – February 12</w:t>
      </w:r>
      <w:r w:rsidRPr="00574015">
        <w:rPr>
          <w:rFonts w:ascii="Calibri" w:eastAsia="Times New Roman" w:hAnsi="Calibri" w:cs="Calibri"/>
          <w:b/>
          <w:bCs/>
          <w:color w:val="404040" w:themeColor="text1" w:themeTint="BF"/>
          <w:kern w:val="0"/>
          <w:vertAlign w:val="superscript"/>
          <w14:ligatures w14:val="none"/>
        </w:rPr>
        <w:t>th</w:t>
      </w:r>
      <w:r w:rsidRPr="00574015">
        <w:rPr>
          <w:rFonts w:ascii="Calibri" w:eastAsia="Times New Roman" w:hAnsi="Calibri" w:cs="Calibri"/>
          <w:b/>
          <w:bCs/>
          <w:color w:val="404040" w:themeColor="text1" w:themeTint="BF"/>
          <w:kern w:val="0"/>
          <w14:ligatures w14:val="none"/>
        </w:rPr>
        <w:t>, 2024</w:t>
      </w:r>
    </w:p>
    <w:p w:rsidR="00533C50" w:rsidRDefault="00533C50" w:rsidP="00533C50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  <w:r w:rsidRPr="00533C50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Clay Art Center is thrilled to present our annual </w:t>
      </w:r>
      <w:r w:rsidRPr="00533C50"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  <w:t>Rising Stars</w:t>
      </w:r>
      <w:r w:rsidRPr="00533C50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exhibition, a celebration of the accomplishments of our </w:t>
      </w:r>
      <w:r w:rsidRPr="00533C50"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  <w:t>adult, youth, and Community Arts</w:t>
      </w:r>
      <w:r w:rsidRPr="00533C50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students. This exhibition serves as a platform for artists at various stages of their clay journey to showcase their talent and growth.</w:t>
      </w:r>
    </w:p>
    <w:p w:rsidR="00533C50" w:rsidRPr="00533C50" w:rsidRDefault="00533C50" w:rsidP="00533C50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</w:p>
    <w:p w:rsidR="00533C50" w:rsidRDefault="00533C50" w:rsidP="00533C50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  <w:r w:rsidRPr="00533C50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Featuring an impressive range of functional and sculptural works, Rising Stars is a testament to the strength and breadth of Clay Art Center's educational programming. </w:t>
      </w:r>
      <w:r w:rsidRPr="00533C50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lastRenderedPageBreak/>
        <w:t xml:space="preserve">The exhibition brings together a diverse group of artists, each contributing their unique perspective and creative voice. This exhibition provides a meaningful opportunity to recognize and acknowledge the technical skills, creativity, and progress of our </w:t>
      </w:r>
      <w:r w:rsidRPr="000A094E"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  <w:t>adult learners</w:t>
      </w:r>
      <w:r w:rsidR="0026310E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, in addition to </w:t>
      </w:r>
      <w:r w:rsidRPr="00533C50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highlight</w:t>
      </w:r>
      <w:r w:rsidR="0026310E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ing</w:t>
      </w:r>
      <w:r w:rsidRPr="00533C50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the </w:t>
      </w:r>
      <w:r w:rsidRPr="000A094E"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  <w:t>importance of our youth and Community Arts Programs, which play a vital role in fulfilling our mission.</w:t>
      </w:r>
      <w:r w:rsidRPr="00533C50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By uniting artists from different programs and levels, Rising Stars demonstrates the inclusivity and supportive nature of our artistic community.</w:t>
      </w:r>
    </w:p>
    <w:p w:rsidR="00533C50" w:rsidRPr="00533C50" w:rsidRDefault="00533C50" w:rsidP="00533C50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</w:p>
    <w:p w:rsidR="00533C50" w:rsidRDefault="00533C50" w:rsidP="00533C50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  <w:r w:rsidRPr="00533C50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Not only does Rising Stars showcase the remarkable achievements of our students, but it also presents the works of our </w:t>
      </w:r>
      <w:r w:rsidRPr="00533C50"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  <w:t>dedicated faculty and teachers.</w:t>
      </w:r>
      <w:r w:rsidRPr="00533C50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Under their expert guidance, our students flourish and develop their artistic potential.</w:t>
      </w:r>
    </w:p>
    <w:p w:rsidR="00533C50" w:rsidRPr="00533C50" w:rsidRDefault="00533C50" w:rsidP="00533C50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</w:p>
    <w:p w:rsidR="00533C50" w:rsidRPr="00533C50" w:rsidRDefault="00533C50" w:rsidP="00533C50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  <w:r w:rsidRPr="00533C50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Additionally, we proudly </w:t>
      </w:r>
      <w:r w:rsidRPr="00533C50"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  <w:t>feature works from our younger students,</w:t>
      </w:r>
      <w:r w:rsidRPr="00533C50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who bring contagious enthusiasm and joy to their clay creations. Their playful and imaginative pieces serve as a reminder of the pure delight that comes with working in clay.</w:t>
      </w:r>
    </w:p>
    <w:p w:rsidR="00995584" w:rsidRPr="00533C50" w:rsidRDefault="00533C50" w:rsidP="00FB7354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  <w:r w:rsidRPr="00533C50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Join us in applauding the hard work and dedication of our students as they share their passion for clay art in the Rising Stars exhibition. This event serves as a testament to the transformative power of education, the growth of artistic skills, and the invaluable community that Clay Art Center provides.</w:t>
      </w:r>
      <w:r w:rsidR="00995584" w:rsidRPr="00995584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br/>
      </w:r>
      <w:r w:rsidR="00995584" w:rsidRPr="00995584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br/>
        <w:t xml:space="preserve">Please join us for a </w:t>
      </w:r>
      <w:r w:rsidR="00813686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family-friendly</w:t>
      </w:r>
      <w:r w:rsidR="00995584" w:rsidRPr="00995584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 </w:t>
      </w:r>
      <w:r w:rsidR="00995584" w:rsidRPr="00995584"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  <w:t xml:space="preserve">Opening Reception on Saturday, January 20th, 1:00 - </w:t>
      </w:r>
      <w:r w:rsidR="00813686"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  <w:t>3:00 pm</w:t>
      </w:r>
    </w:p>
    <w:p w:rsidR="0095407C" w:rsidRDefault="0095407C" w:rsidP="00FB7354">
      <w:pPr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</w:pPr>
    </w:p>
    <w:p w:rsidR="00C305BA" w:rsidRPr="00C305BA" w:rsidRDefault="00F67313" w:rsidP="00FB7354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  <w:hyperlink r:id="rId8" w:history="1">
        <w:r w:rsidR="00C305BA" w:rsidRPr="00F67313">
          <w:rPr>
            <w:rStyle w:val="Hyperlink"/>
            <w:rFonts w:eastAsia="Times New Roman" w:cstheme="minorHAnsi"/>
            <w:spacing w:val="10"/>
            <w:kern w:val="0"/>
            <w14:ligatures w14:val="none"/>
          </w:rPr>
          <w:t>Learn more</w:t>
        </w:r>
      </w:hyperlink>
    </w:p>
    <w:p w:rsidR="00C305BA" w:rsidRDefault="00C305BA" w:rsidP="00FB7354">
      <w:pPr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</w:pPr>
    </w:p>
    <w:p w:rsidR="0095407C" w:rsidRDefault="0095407C" w:rsidP="00FB7354">
      <w:pPr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</w:pPr>
      <w:r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  <w:t>About Our Programs</w:t>
      </w:r>
    </w:p>
    <w:p w:rsidR="0095407C" w:rsidRDefault="0095407C" w:rsidP="00FB7354">
      <w:pPr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</w:pPr>
    </w:p>
    <w:p w:rsidR="0095407C" w:rsidRDefault="0095407C" w:rsidP="0095407C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At Clay Art Center, we provid</w:t>
      </w:r>
      <w:r w:rsidR="005F49FB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e</w:t>
      </w: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opportunities for the public to engage with clay and educational clay programming. </w:t>
      </w:r>
      <w:r w:rsidR="005F49FB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Our programming</w:t>
      </w: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</w:t>
      </w:r>
      <w:r w:rsidR="005F49FB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caters</w:t>
      </w: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to individuals of all ages and skill levels.</w:t>
      </w:r>
    </w:p>
    <w:p w:rsidR="0095407C" w:rsidRPr="0095407C" w:rsidRDefault="0095407C" w:rsidP="0095407C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</w:p>
    <w:p w:rsidR="0095407C" w:rsidRPr="0095407C" w:rsidRDefault="0095407C" w:rsidP="0095407C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For those looking to dip their toes in the world of clay, our </w:t>
      </w:r>
      <w:r w:rsidRPr="0095407C"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  <w:t>One-Time classes</w:t>
      </w: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are perfect. These classes allow both adults and youth to try clay for the first time, providing a welcoming and supportive environment for beginners. Participants can explore their creativity and get a taste of the joy that comes with working with clay.</w:t>
      </w:r>
    </w:p>
    <w:p w:rsidR="0095407C" w:rsidRDefault="0095407C" w:rsidP="0095407C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If you're interested in a more comprehensive learning experience, our </w:t>
      </w:r>
      <w:r w:rsidRPr="0095407C"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  <w:t>Weekly Classes</w:t>
      </w: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are designed to help students develop their skills over an extended period. Led by experienced instructors, these classes offer a structured curriculum </w:t>
      </w:r>
      <w:r w:rsidR="005F49FB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in wheel throwing and </w:t>
      </w:r>
      <w:proofErr w:type="spellStart"/>
      <w:r w:rsidR="005F49FB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handbuilding</w:t>
      </w:r>
      <w:proofErr w:type="spellEnd"/>
      <w:r w:rsidR="005F49FB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techniques</w:t>
      </w: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. Students have the opportunity to dive deeper into their artistic practice and foster their creative growth.</w:t>
      </w:r>
    </w:p>
    <w:p w:rsidR="0095407C" w:rsidRPr="0095407C" w:rsidRDefault="0095407C" w:rsidP="0095407C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</w:p>
    <w:p w:rsidR="0095407C" w:rsidRDefault="0095407C" w:rsidP="0095407C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In line with our commitment to community engagement, Clay Art Center also offers </w:t>
      </w:r>
      <w:r w:rsidRPr="0095407C"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  <w:t>Community Arts</w:t>
      </w: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programming. Through scholarships and </w:t>
      </w:r>
      <w:r w:rsidR="005F49FB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grant-funded </w:t>
      </w: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programs, we ensure that clay art is accessible to </w:t>
      </w:r>
      <w:r w:rsidR="005F49FB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everyone who wants to experience working with </w:t>
      </w:r>
      <w:r w:rsidR="005F49FB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lastRenderedPageBreak/>
        <w:t>clay</w:t>
      </w: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.</w:t>
      </w:r>
      <w:r w:rsidR="005F49FB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We partner with local schools, community centers, and nonprofits</w:t>
      </w: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</w:t>
      </w:r>
      <w:r w:rsidR="005F49FB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to provide both onsite and offsite clay programs. By engaging the community with </w:t>
      </w: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clay</w:t>
      </w:r>
      <w:r w:rsidR="005F49FB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art, </w:t>
      </w: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>we aim to promote inclusivity, cultural enrichment, and personal growth.</w:t>
      </w:r>
    </w:p>
    <w:p w:rsidR="0095407C" w:rsidRPr="0095407C" w:rsidRDefault="0095407C" w:rsidP="0095407C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</w:p>
    <w:p w:rsidR="0095407C" w:rsidRPr="0095407C" w:rsidRDefault="0095407C" w:rsidP="0095407C">
      <w:pPr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</w:pP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To sustain our mission and continue providing these valuable opportunities, Clay Art Center relies on the support of grants, donations, and fundraising efforts. By </w:t>
      </w:r>
      <w:r w:rsidRPr="0095407C">
        <w:rPr>
          <w:rFonts w:eastAsia="Times New Roman" w:cstheme="minorHAnsi"/>
          <w:b/>
          <w:bCs/>
          <w:color w:val="404040" w:themeColor="text1" w:themeTint="BF"/>
          <w:spacing w:val="10"/>
          <w:kern w:val="0"/>
          <w14:ligatures w14:val="none"/>
        </w:rPr>
        <w:t>igniting a passion for clay</w:t>
      </w:r>
      <w:r w:rsidRPr="0095407C">
        <w:rPr>
          <w:rFonts w:eastAsia="Times New Roman" w:cstheme="minorHAnsi"/>
          <w:color w:val="404040" w:themeColor="text1" w:themeTint="BF"/>
          <w:spacing w:val="10"/>
          <w:kern w:val="0"/>
          <w14:ligatures w14:val="none"/>
        </w:rPr>
        <w:t xml:space="preserve"> in everybody, we cultivate an appreciation for the arts and foster a vibrant artistic community.</w:t>
      </w:r>
    </w:p>
    <w:p w:rsidR="003F0AD6" w:rsidRPr="00960B32" w:rsidRDefault="003F0AD6" w:rsidP="003F0AD6">
      <w:pPr>
        <w:shd w:val="clear" w:color="auto" w:fill="FFFFFF"/>
        <w:spacing w:before="100" w:beforeAutospacing="1" w:after="100" w:afterAutospacing="1"/>
        <w:rPr>
          <w:rFonts w:ascii="Century Gothic" w:hAnsi="Century Gothic" w:cs="Arial"/>
          <w:sz w:val="22"/>
          <w:szCs w:val="22"/>
        </w:rPr>
      </w:pPr>
      <w:r>
        <w:rPr>
          <w:rFonts w:ascii="Century Gothic" w:hAnsi="Century Gothic" w:cs="Arial"/>
          <w:b/>
          <w:bCs/>
          <w:color w:val="9A0000"/>
          <w:sz w:val="22"/>
          <w:szCs w:val="22"/>
        </w:rPr>
        <w:t>C</w:t>
      </w:r>
      <w:r w:rsidRPr="00960B32">
        <w:rPr>
          <w:rFonts w:ascii="Century Gothic" w:hAnsi="Century Gothic" w:cs="Arial"/>
          <w:b/>
          <w:bCs/>
          <w:color w:val="9A0000"/>
          <w:sz w:val="22"/>
          <w:szCs w:val="22"/>
        </w:rPr>
        <w:t>lay Art Center is a nationally recognized non-profit center for the advancement and practice of ceramic arts offering exhibitions, clay classes for adults and children, studio spaces for clay artists</w:t>
      </w:r>
      <w:r w:rsidR="00A963C9">
        <w:rPr>
          <w:rFonts w:ascii="Century Gothic" w:hAnsi="Century Gothic" w:cs="Arial"/>
          <w:b/>
          <w:bCs/>
          <w:color w:val="9A0000"/>
          <w:sz w:val="22"/>
          <w:szCs w:val="22"/>
        </w:rPr>
        <w:t>,</w:t>
      </w:r>
      <w:r w:rsidRPr="00960B32">
        <w:rPr>
          <w:rFonts w:ascii="Century Gothic" w:hAnsi="Century Gothic" w:cs="Arial"/>
          <w:b/>
          <w:bCs/>
          <w:color w:val="9A0000"/>
          <w:sz w:val="22"/>
          <w:szCs w:val="22"/>
        </w:rPr>
        <w:t xml:space="preserve"> and outreach programs in the community.  </w:t>
      </w:r>
      <w:r w:rsidRPr="00960B32">
        <w:rPr>
          <w:rFonts w:ascii="Century Gothic" w:hAnsi="Century Gothic" w:cs="Arial"/>
          <w:b/>
          <w:bCs/>
          <w:sz w:val="22"/>
          <w:szCs w:val="22"/>
        </w:rPr>
        <w:t>It is located in the heart of Port Chester at 40 Beech Street, Port Chester, NY 10573. Join Clay Art Center classes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, </w:t>
      </w:r>
      <w:r w:rsidR="00A963C9">
        <w:rPr>
          <w:rFonts w:ascii="Century Gothic" w:hAnsi="Century Gothic" w:cs="Arial"/>
          <w:b/>
          <w:bCs/>
          <w:sz w:val="22"/>
          <w:szCs w:val="22"/>
        </w:rPr>
        <w:t xml:space="preserve">and </w:t>
      </w:r>
      <w:r>
        <w:rPr>
          <w:rFonts w:ascii="Century Gothic" w:hAnsi="Century Gothic" w:cs="Arial"/>
          <w:b/>
          <w:bCs/>
          <w:sz w:val="22"/>
          <w:szCs w:val="22"/>
        </w:rPr>
        <w:t>exhibitions,</w:t>
      </w:r>
      <w:r w:rsidRPr="00960B32">
        <w:rPr>
          <w:rFonts w:ascii="Century Gothic" w:hAnsi="Century Gothic" w:cs="Arial"/>
          <w:b/>
          <w:bCs/>
          <w:sz w:val="22"/>
          <w:szCs w:val="22"/>
        </w:rPr>
        <w:t xml:space="preserve"> </w:t>
      </w:r>
      <w:r>
        <w:rPr>
          <w:rFonts w:ascii="Century Gothic" w:hAnsi="Century Gothic" w:cs="Arial"/>
          <w:b/>
          <w:bCs/>
          <w:sz w:val="22"/>
          <w:szCs w:val="22"/>
        </w:rPr>
        <w:t xml:space="preserve">and </w:t>
      </w:r>
      <w:r w:rsidRPr="00960B32">
        <w:rPr>
          <w:rFonts w:ascii="Century Gothic" w:hAnsi="Century Gothic" w:cs="Arial"/>
          <w:b/>
          <w:bCs/>
          <w:sz w:val="22"/>
          <w:szCs w:val="22"/>
        </w:rPr>
        <w:t>shop online at www.clayartcenter.org.</w:t>
      </w:r>
    </w:p>
    <w:p w:rsidR="003F0AD6" w:rsidRDefault="003F0AD6" w:rsidP="00A65532"/>
    <w:sectPr w:rsidR="003F0A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65532"/>
    <w:rsid w:val="000A094E"/>
    <w:rsid w:val="001427EA"/>
    <w:rsid w:val="001F714A"/>
    <w:rsid w:val="0026310E"/>
    <w:rsid w:val="00264A87"/>
    <w:rsid w:val="003640D4"/>
    <w:rsid w:val="003F0AD6"/>
    <w:rsid w:val="004B3408"/>
    <w:rsid w:val="00533C50"/>
    <w:rsid w:val="00574015"/>
    <w:rsid w:val="005F49FB"/>
    <w:rsid w:val="00813686"/>
    <w:rsid w:val="0095407C"/>
    <w:rsid w:val="00995584"/>
    <w:rsid w:val="00A44321"/>
    <w:rsid w:val="00A65532"/>
    <w:rsid w:val="00A85DB2"/>
    <w:rsid w:val="00A963C9"/>
    <w:rsid w:val="00B551B2"/>
    <w:rsid w:val="00C12764"/>
    <w:rsid w:val="00C305BA"/>
    <w:rsid w:val="00D52019"/>
    <w:rsid w:val="00F67313"/>
    <w:rsid w:val="00FB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C5E4E"/>
  <w15:chartTrackingRefBased/>
  <w15:docId w15:val="{76C09909-31E8-7845-B3D7-07D1E2287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65532"/>
    <w:pPr>
      <w:spacing w:before="100" w:beforeAutospacing="1" w:after="100" w:afterAutospacing="1"/>
    </w:pPr>
    <w:rPr>
      <w:rFonts w:ascii="Times New Roman" w:eastAsia="Times New Roman" w:hAnsi="Times New Roman" w:cs="Times New Roman"/>
      <w:kern w:val="0"/>
      <w14:ligatures w14:val="none"/>
    </w:rPr>
  </w:style>
  <w:style w:type="character" w:styleId="Hyperlink">
    <w:name w:val="Hyperlink"/>
    <w:basedOn w:val="DefaultParagraphFont"/>
    <w:uiPriority w:val="99"/>
    <w:unhideWhenUsed/>
    <w:rsid w:val="00A65532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65532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65532"/>
    <w:rPr>
      <w:color w:val="605E5C"/>
      <w:shd w:val="clear" w:color="auto" w:fill="E1DFDD"/>
    </w:rPr>
  </w:style>
  <w:style w:type="character" w:styleId="Strong">
    <w:name w:val="Strong"/>
    <w:basedOn w:val="DefaultParagraphFont"/>
    <w:uiPriority w:val="22"/>
    <w:qFormat/>
    <w:rsid w:val="0099558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73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9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43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73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1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349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layartcenter.org/events-at-clayartcenter/2024/1/rising-stars-annual-student-exhibition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munications@clayartcenter.org" TargetMode="External"/><Relationship Id="rId5" Type="http://schemas.openxmlformats.org/officeDocument/2006/relationships/hyperlink" Target="mailto:regina@clayartcenter.or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681</Words>
  <Characters>3887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9</cp:revision>
  <dcterms:created xsi:type="dcterms:W3CDTF">2024-01-03T19:13:00Z</dcterms:created>
  <dcterms:modified xsi:type="dcterms:W3CDTF">2024-01-04T16:41:00Z</dcterms:modified>
</cp:coreProperties>
</file>